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78" w:rsidRDefault="009D1778" w:rsidP="009D1778">
      <w:r>
        <w:t>Zestaw 02</w:t>
      </w:r>
      <w:r w:rsidR="009A5F38">
        <w:t xml:space="preserve"> (kat.8)</w:t>
      </w:r>
      <w:bookmarkStart w:id="0" w:name="_GoBack"/>
      <w:bookmarkEnd w:id="0"/>
    </w:p>
    <w:p w:rsidR="009D1778" w:rsidRDefault="009D1778" w:rsidP="009D1778">
      <w:r>
        <w:t>G2</w:t>
      </w:r>
    </w:p>
    <w:p w:rsidR="001669F6" w:rsidRDefault="009D1778" w:rsidP="009D1778">
      <w:r>
        <w:t>Zakup zestawu komputerowego do zajęć z matematyki do pracowni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laptop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ekran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projektor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uchwyt</w:t>
      </w:r>
    </w:p>
    <w:p w:rsidR="009D1778" w:rsidRDefault="009D1778" w:rsidP="009D1778">
      <w:pPr>
        <w:pStyle w:val="Akapitzlist"/>
        <w:numPr>
          <w:ilvl w:val="0"/>
          <w:numId w:val="1"/>
        </w:numPr>
      </w:pPr>
      <w:r>
        <w:t>okablowanie</w:t>
      </w:r>
    </w:p>
    <w:p w:rsidR="009D1778" w:rsidRDefault="009D1778" w:rsidP="009D1778"/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 w:rsidRPr="009D1778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9D1778" w:rsidRPr="00036DF5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komputer przenośny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aplikacje biurowe, aplikacje edukacyjne, prezentacje multimedialne, edycja zdjęć, współpraca z projektorem multimedialnym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Procesor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="00D74DC5">
              <w:t>3,126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pojemność: min. 4096 MB,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maksymalna obsługiwana pojemność: min. 8192 MB,</w:t>
            </w:r>
          </w:p>
          <w:p w:rsidR="009D1778" w:rsidRPr="00F32388" w:rsidRDefault="009D1778" w:rsidP="009D1778">
            <w:pPr>
              <w:pStyle w:val="Akapitzlist"/>
              <w:numPr>
                <w:ilvl w:val="0"/>
                <w:numId w:val="7"/>
              </w:numPr>
            </w:pPr>
            <w:r w:rsidRPr="00F32388">
              <w:t>wolne złącza pamięci: min. 1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4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9D1778" w:rsidRPr="003455E8" w:rsidRDefault="009D1778" w:rsidP="009D1778">
            <w:pPr>
              <w:pStyle w:val="Akapitzlist"/>
              <w:numPr>
                <w:ilvl w:val="0"/>
                <w:numId w:val="4"/>
              </w:numPr>
            </w:pPr>
            <w:r>
              <w:t>o</w:t>
            </w:r>
            <w:r w:rsidRPr="00F32388">
              <w:t xml:space="preserve">bszar aktywny: </w:t>
            </w:r>
            <w:r>
              <w:t>17,3</w:t>
            </w:r>
            <w:r w:rsidRPr="00F32388">
              <w:t>”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Grafika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9D1778" w:rsidRPr="00303E2D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9D177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9D1778" w:rsidRPr="00F32388" w:rsidRDefault="009D1778" w:rsidP="009D1778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d</w:t>
            </w:r>
            <w:r w:rsidRPr="00B830A9">
              <w:t>ysk twardy o pojemności min. 500GB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Pr="00AB6144">
              <w:t xml:space="preserve"> 1.0 </w:t>
            </w:r>
            <w:proofErr w:type="spellStart"/>
            <w:r w:rsidRPr="00AB6144">
              <w:t>Mpix</w:t>
            </w:r>
            <w:proofErr w:type="spellEnd"/>
          </w:p>
          <w:p w:rsidR="009D1778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wbudowany</w:t>
            </w:r>
            <w:r w:rsidRPr="00AB6144">
              <w:t xml:space="preserve"> mikrofon</w:t>
            </w:r>
          </w:p>
          <w:p w:rsidR="009D1778" w:rsidRPr="00AB6144" w:rsidRDefault="009D1778" w:rsidP="009D1778">
            <w:pPr>
              <w:pStyle w:val="Akapitzlist"/>
              <w:numPr>
                <w:ilvl w:val="0"/>
                <w:numId w:val="9"/>
              </w:numPr>
            </w:pPr>
            <w:r>
              <w:t>wbudowane głośniki stereofoniczne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9D1778" w:rsidRPr="003471E8" w:rsidRDefault="009D1778" w:rsidP="00965DF3">
            <w:r>
              <w:t>czas pracy na baterii min. 3 godziny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9D1778" w:rsidRPr="003471E8" w:rsidRDefault="009D1778" w:rsidP="00965DF3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maksymalnie 2,4kg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9D1778" w:rsidRPr="008D17B3" w:rsidRDefault="009D1778" w:rsidP="009D1778">
            <w:pPr>
              <w:pStyle w:val="Akapitzlist"/>
              <w:numPr>
                <w:ilvl w:val="0"/>
                <w:numId w:val="10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</w:t>
            </w:r>
            <w:r>
              <w:lastRenderedPageBreak/>
              <w:t xml:space="preserve">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15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>erwis urządzeń musi by</w:t>
            </w:r>
            <w:r w:rsidR="0078305D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9D1778" w:rsidRPr="003471E8" w:rsidRDefault="009D1778" w:rsidP="009D1778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AA7AF9" w:rsidRDefault="00AA7AF9" w:rsidP="00AA7AF9">
            <w:pPr>
              <w:pStyle w:val="Akapitzlist"/>
              <w:numPr>
                <w:ilvl w:val="0"/>
                <w:numId w:val="14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AA7AF9" w:rsidRDefault="00AA7AF9" w:rsidP="00AA7AF9">
            <w:pPr>
              <w:pStyle w:val="Akapitzlist"/>
              <w:numPr>
                <w:ilvl w:val="0"/>
                <w:numId w:val="14"/>
              </w:numPr>
            </w:pPr>
            <w:r>
              <w:t>oprogramowanie antywirusowe w polskiej wersji językowej zapewniające ochronę plików w czasie rzeczywistym, ochronę poczty e-mail, oraz przeglądarki internetowej, z bezpłatnymi aktualizacjami do najnowszej wersji bazy danych wirusów przez 2 lata</w:t>
            </w:r>
          </w:p>
          <w:p w:rsidR="009D1778" w:rsidRDefault="00AA7AF9" w:rsidP="00AA7AF9">
            <w:pPr>
              <w:pStyle w:val="Akapitzlist"/>
              <w:numPr>
                <w:ilvl w:val="0"/>
                <w:numId w:val="6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9D1778" w:rsidRPr="00A67E40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9D1778" w:rsidRPr="00B830A9" w:rsidRDefault="009D1778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3</w:t>
            </w:r>
            <w:r w:rsidRPr="00F32388">
              <w:t xml:space="preserve"> gniazda USB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Pr="00F32388">
              <w:t>łącze wideo HDMI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gniazda słuchawek i mikrofonu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n</w:t>
            </w:r>
            <w:r w:rsidRPr="00052484">
              <w:t>agrywarka DVD+/-R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układ klawiatury – QWERY</w:t>
            </w:r>
          </w:p>
          <w:p w:rsidR="009D1778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Pr="00052484">
              <w:t>ysz optyczna USB 800 DPI</w:t>
            </w:r>
          </w:p>
          <w:p w:rsidR="009D1778" w:rsidRPr="00A67E40" w:rsidRDefault="009D1778" w:rsidP="009D1778">
            <w:pPr>
              <w:pStyle w:val="Akapitzlist"/>
              <w:numPr>
                <w:ilvl w:val="0"/>
                <w:numId w:val="8"/>
              </w:numPr>
            </w:pPr>
            <w:r>
              <w:t>torba dopasowana do wielkości komputera</w:t>
            </w:r>
          </w:p>
        </w:tc>
      </w:tr>
      <w:tr w:rsidR="00E4430F" w:rsidRPr="00A67E40" w:rsidTr="00965DF3">
        <w:tc>
          <w:tcPr>
            <w:tcW w:w="279" w:type="pct"/>
            <w:vAlign w:val="center"/>
          </w:tcPr>
          <w:p w:rsidR="00E4430F" w:rsidRPr="00E14C19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9D1778" w:rsidRPr="009D1778" w:rsidRDefault="009D1778" w:rsidP="009D1778">
      <w:pPr>
        <w:rPr>
          <w:b/>
        </w:rPr>
      </w:pPr>
    </w:p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Ekran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9D1778" w:rsidRPr="00036DF5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9D1778" w:rsidRPr="00036DF5" w:rsidRDefault="009D1778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9D1778" w:rsidRDefault="009D1778" w:rsidP="00965DF3">
            <w:r>
              <w:t>ekran do projektora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Pr="00E14C19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P</w:t>
            </w:r>
            <w:r w:rsidRPr="009D1778">
              <w:t>owierzchnia projekcyjna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roofErr w:type="spellStart"/>
            <w:r>
              <w:t>m</w:t>
            </w:r>
            <w:r w:rsidRPr="009D1778">
              <w:t>att</w:t>
            </w:r>
            <w:proofErr w:type="spellEnd"/>
            <w:r w:rsidRPr="009D1778">
              <w:t xml:space="preserve"> </w:t>
            </w:r>
            <w:r>
              <w:t>–</w:t>
            </w:r>
            <w:r w:rsidRPr="009D1778">
              <w:t xml:space="preserve"> </w:t>
            </w:r>
            <w:proofErr w:type="spellStart"/>
            <w:r>
              <w:t>w</w:t>
            </w:r>
            <w:r w:rsidRPr="009D1778">
              <w:t>hite</w:t>
            </w:r>
            <w:proofErr w:type="spellEnd"/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W</w:t>
            </w:r>
            <w:r w:rsidRPr="009D1778">
              <w:t>ymiary pow. projekcyjnej</w:t>
            </w:r>
          </w:p>
        </w:tc>
        <w:tc>
          <w:tcPr>
            <w:tcW w:w="3759" w:type="pct"/>
            <w:vAlign w:val="center"/>
          </w:tcPr>
          <w:p w:rsidR="009D1778" w:rsidRPr="009D1778" w:rsidRDefault="009D1778" w:rsidP="009D1778">
            <w:r>
              <w:t xml:space="preserve">min. </w:t>
            </w:r>
            <w:r w:rsidRPr="009D1778">
              <w:t>270x180 cm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F</w:t>
            </w:r>
            <w:r w:rsidRPr="009D1778">
              <w:t>ormat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r>
              <w:t>4:3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9D1778" w:rsidRPr="009D1778" w:rsidRDefault="009D1778" w:rsidP="00965DF3">
            <w:r>
              <w:t>Sposób rozwijania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r w:rsidRPr="009D1778">
              <w:t>rozwijany elektrycznie</w:t>
            </w:r>
          </w:p>
        </w:tc>
      </w:tr>
      <w:tr w:rsidR="009D1778" w:rsidTr="00965DF3">
        <w:tc>
          <w:tcPr>
            <w:tcW w:w="279" w:type="pct"/>
            <w:vAlign w:val="center"/>
          </w:tcPr>
          <w:p w:rsidR="009D1778" w:rsidRDefault="009D1778" w:rsidP="00965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9D1778" w:rsidRDefault="009D1778" w:rsidP="00965DF3">
            <w:r>
              <w:t>Sposób sterowania</w:t>
            </w:r>
          </w:p>
        </w:tc>
        <w:tc>
          <w:tcPr>
            <w:tcW w:w="3759" w:type="pct"/>
            <w:vAlign w:val="center"/>
          </w:tcPr>
          <w:p w:rsidR="009D1778" w:rsidRDefault="009D1778" w:rsidP="009D1778">
            <w:pPr>
              <w:pStyle w:val="Akapitzlist"/>
              <w:numPr>
                <w:ilvl w:val="0"/>
                <w:numId w:val="11"/>
              </w:numPr>
            </w:pPr>
            <w:r>
              <w:t>sterowanie przewodowe</w:t>
            </w:r>
          </w:p>
          <w:p w:rsidR="009D1778" w:rsidRPr="009D1778" w:rsidRDefault="009D1778" w:rsidP="009D1778">
            <w:pPr>
              <w:pStyle w:val="Akapitzlist"/>
              <w:numPr>
                <w:ilvl w:val="0"/>
                <w:numId w:val="11"/>
              </w:numPr>
            </w:pPr>
            <w:r>
              <w:t>sterowanie za pomocą pilota</w:t>
            </w:r>
          </w:p>
        </w:tc>
      </w:tr>
      <w:tr w:rsidR="009D1778" w:rsidRPr="00566540" w:rsidTr="00965DF3">
        <w:tc>
          <w:tcPr>
            <w:tcW w:w="279" w:type="pct"/>
            <w:vAlign w:val="center"/>
          </w:tcPr>
          <w:p w:rsidR="009D1778" w:rsidRPr="009D1778" w:rsidRDefault="009D1778" w:rsidP="00965DF3">
            <w:pPr>
              <w:jc w:val="center"/>
              <w:rPr>
                <w:b/>
              </w:rPr>
            </w:pPr>
            <w:r w:rsidRPr="009D1778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9D1778" w:rsidRPr="003471E8" w:rsidRDefault="009D1778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AA4DDA" w:rsidRDefault="009D1778" w:rsidP="00AA4DDA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9D1778" w:rsidRPr="00566540" w:rsidRDefault="009D1778" w:rsidP="00AA4DDA">
            <w:pPr>
              <w:pStyle w:val="Akapitzlist"/>
              <w:numPr>
                <w:ilvl w:val="0"/>
                <w:numId w:val="6"/>
              </w:numPr>
            </w:pPr>
            <w:r>
              <w:t>s</w:t>
            </w:r>
            <w:r w:rsidR="00AA4DDA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357B59" w:rsidRPr="00566540" w:rsidTr="00965DF3">
        <w:tc>
          <w:tcPr>
            <w:tcW w:w="279" w:type="pct"/>
            <w:vAlign w:val="center"/>
          </w:tcPr>
          <w:p w:rsidR="00357B59" w:rsidRPr="009D1778" w:rsidRDefault="00357B59" w:rsidP="00965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357B59" w:rsidRPr="003471E8" w:rsidRDefault="00357B59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357B59" w:rsidRPr="00357B59" w:rsidRDefault="009219F8" w:rsidP="00357B59">
            <w:r>
              <w:t>m</w:t>
            </w:r>
            <w:r w:rsidR="00357B59">
              <w:t>ontaż ekranu we wskazanym miejscu</w:t>
            </w:r>
          </w:p>
        </w:tc>
      </w:tr>
      <w:tr w:rsidR="00E4430F" w:rsidRPr="00566540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357B59"/>
        </w:tc>
      </w:tr>
    </w:tbl>
    <w:p w:rsidR="009D1778" w:rsidRPr="009D1778" w:rsidRDefault="009D1778" w:rsidP="009D1778">
      <w:pPr>
        <w:rPr>
          <w:b/>
        </w:rPr>
      </w:pPr>
    </w:p>
    <w:p w:rsidR="009D1778" w:rsidRDefault="009D1778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Projektor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880035" w:rsidRPr="00036DF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880035" w:rsidRPr="00036DF5" w:rsidRDefault="00880035" w:rsidP="002E4C2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880035" w:rsidRPr="00036DF5" w:rsidRDefault="00880035" w:rsidP="002E4C25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>
              <w:t>Typ</w:t>
            </w:r>
          </w:p>
        </w:tc>
        <w:tc>
          <w:tcPr>
            <w:tcW w:w="3759" w:type="pct"/>
            <w:vAlign w:val="center"/>
          </w:tcPr>
          <w:p w:rsidR="00880035" w:rsidRDefault="00880035" w:rsidP="002E4C25">
            <w:r>
              <w:t>Projektor multimedialny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>
              <w:t>Wyświetlanie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 xml:space="preserve">rozdzielczość podstawowa: </w:t>
            </w:r>
            <w:r w:rsidRPr="00F506D7">
              <w:t>1280 x 800</w:t>
            </w:r>
            <w:r>
              <w:t xml:space="preserve"> </w:t>
            </w:r>
            <w:proofErr w:type="spellStart"/>
            <w:r>
              <w:t>pix</w:t>
            </w:r>
            <w:proofErr w:type="spellEnd"/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współczynnik kontrastu: 2000:1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minimalna odległość projektora od ekranu 1m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maksymalna odległość projektora od ekranu 3,4m</w:t>
            </w:r>
          </w:p>
          <w:p w:rsidR="00880035" w:rsidRPr="00566540" w:rsidRDefault="00880035" w:rsidP="00880035">
            <w:pPr>
              <w:pStyle w:val="Akapitzlist"/>
              <w:numPr>
                <w:ilvl w:val="0"/>
                <w:numId w:val="7"/>
              </w:numPr>
            </w:pPr>
            <w:r>
              <w:t>żywotność lampy przy normalnym użytkowaniu: 5000 godzin</w:t>
            </w:r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880035" w:rsidRPr="00B830A9" w:rsidRDefault="00880035" w:rsidP="002E4C25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880035" w:rsidRPr="00566540" w:rsidRDefault="00880035" w:rsidP="00880035">
            <w:pPr>
              <w:pStyle w:val="Akapitzlist"/>
              <w:numPr>
                <w:ilvl w:val="0"/>
                <w:numId w:val="9"/>
              </w:numPr>
            </w:pPr>
            <w:r w:rsidRPr="00566540">
              <w:t>wbudowan</w:t>
            </w:r>
            <w:r>
              <w:t>y</w:t>
            </w:r>
            <w:r w:rsidRPr="00566540">
              <w:t xml:space="preserve"> głośnik</w:t>
            </w:r>
          </w:p>
        </w:tc>
      </w:tr>
      <w:tr w:rsidR="00880035" w:rsidRPr="003471E8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880035" w:rsidRDefault="00880035" w:rsidP="002E4C25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880035" w:rsidRPr="003471E8" w:rsidRDefault="00880035" w:rsidP="002E4C25">
            <w:r>
              <w:t>g</w:t>
            </w:r>
            <w:r w:rsidRPr="003471E8">
              <w:t xml:space="preserve">łośność </w:t>
            </w:r>
            <w:r>
              <w:t>podczas normalnej pracy</w:t>
            </w:r>
            <w:r w:rsidRPr="003471E8">
              <w:t xml:space="preserve">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880035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880035" w:rsidRPr="003471E8" w:rsidRDefault="00880035" w:rsidP="002E4C25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6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880035" w:rsidRPr="00566540" w:rsidRDefault="00880035" w:rsidP="00880035">
            <w:pPr>
              <w:pStyle w:val="Akapitzlist"/>
              <w:numPr>
                <w:ilvl w:val="0"/>
                <w:numId w:val="6"/>
              </w:numPr>
            </w:pPr>
            <w:r>
              <w:t>serwis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880035" w:rsidRPr="00A67E40" w:rsidTr="002E4C25">
        <w:tc>
          <w:tcPr>
            <w:tcW w:w="279" w:type="pct"/>
            <w:vAlign w:val="center"/>
          </w:tcPr>
          <w:p w:rsidR="00880035" w:rsidRPr="00FB6C7B" w:rsidRDefault="00880035" w:rsidP="002E4C25">
            <w:pPr>
              <w:jc w:val="center"/>
              <w:rPr>
                <w:b/>
              </w:rPr>
            </w:pPr>
            <w:r w:rsidRPr="00FB6C7B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880035" w:rsidRPr="00B830A9" w:rsidRDefault="00880035" w:rsidP="002E4C25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880035" w:rsidRDefault="00880035" w:rsidP="00880035">
            <w:pPr>
              <w:pStyle w:val="Akapitzlist"/>
              <w:numPr>
                <w:ilvl w:val="0"/>
                <w:numId w:val="8"/>
              </w:numPr>
            </w:pPr>
            <w:r>
              <w:t>wejście sygnału wideo D-SUB,</w:t>
            </w:r>
            <w:r w:rsidRPr="00F506D7">
              <w:t xml:space="preserve"> HDMI</w:t>
            </w:r>
            <w:r>
              <w:t>, RCA, S-Video</w:t>
            </w:r>
          </w:p>
          <w:p w:rsidR="00880035" w:rsidRDefault="00880035" w:rsidP="00880035">
            <w:pPr>
              <w:pStyle w:val="Akapitzlist"/>
              <w:numPr>
                <w:ilvl w:val="0"/>
                <w:numId w:val="8"/>
              </w:numPr>
            </w:pPr>
            <w:proofErr w:type="spellStart"/>
            <w:r>
              <w:t>wejscie</w:t>
            </w:r>
            <w:proofErr w:type="spellEnd"/>
            <w:r>
              <w:t xml:space="preserve"> sygnału audio</w:t>
            </w:r>
          </w:p>
          <w:p w:rsidR="00880035" w:rsidRPr="00F506D7" w:rsidRDefault="00880035" w:rsidP="00880035">
            <w:pPr>
              <w:pStyle w:val="Akapitzlist"/>
              <w:numPr>
                <w:ilvl w:val="0"/>
                <w:numId w:val="8"/>
              </w:numPr>
            </w:pPr>
            <w:r>
              <w:t>wyjście sygnału audio</w:t>
            </w:r>
          </w:p>
        </w:tc>
      </w:tr>
      <w:tr w:rsidR="00E4430F" w:rsidRPr="00A67E40" w:rsidTr="002E4C25">
        <w:tc>
          <w:tcPr>
            <w:tcW w:w="279" w:type="pct"/>
            <w:vAlign w:val="center"/>
          </w:tcPr>
          <w:p w:rsidR="00E4430F" w:rsidRPr="00FB6C7B" w:rsidRDefault="00E4430F" w:rsidP="002E4C25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2E4C25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9D1778" w:rsidRPr="009D1778" w:rsidRDefault="009D1778" w:rsidP="009D1778">
      <w:pPr>
        <w:rPr>
          <w:b/>
        </w:rPr>
      </w:pPr>
    </w:p>
    <w:p w:rsidR="009D1778" w:rsidRDefault="00D51112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Uchwyt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D51112" w:rsidRPr="00036DF5" w:rsidTr="00965DF3">
        <w:tc>
          <w:tcPr>
            <w:tcW w:w="279" w:type="pct"/>
            <w:vAlign w:val="center"/>
          </w:tcPr>
          <w:p w:rsidR="00D51112" w:rsidRPr="00FB6C7B" w:rsidRDefault="00D51112" w:rsidP="00965DF3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D51112" w:rsidRPr="00036DF5" w:rsidRDefault="00D51112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D51112" w:rsidRPr="00036DF5" w:rsidRDefault="00D51112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D51112" w:rsidTr="00965DF3">
        <w:tc>
          <w:tcPr>
            <w:tcW w:w="279" w:type="pct"/>
            <w:vAlign w:val="center"/>
          </w:tcPr>
          <w:p w:rsidR="00D51112" w:rsidRPr="00FB6C7B" w:rsidRDefault="00D51112" w:rsidP="00965DF3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D51112" w:rsidRDefault="00D51112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D51112" w:rsidRDefault="00F82ED3" w:rsidP="00965DF3">
            <w:r>
              <w:t>uchwyt sufitowy do projektora multimedialnego</w:t>
            </w:r>
          </w:p>
        </w:tc>
      </w:tr>
      <w:tr w:rsidR="00F82ED3" w:rsidTr="00965DF3">
        <w:tc>
          <w:tcPr>
            <w:tcW w:w="279" w:type="pct"/>
            <w:vAlign w:val="center"/>
          </w:tcPr>
          <w:p w:rsidR="00F82ED3" w:rsidRPr="00FB6C7B" w:rsidRDefault="00F82ED3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F82ED3" w:rsidRDefault="00F82ED3" w:rsidP="00965DF3">
            <w:r>
              <w:t>M</w:t>
            </w:r>
            <w:r w:rsidRPr="00F82ED3">
              <w:t>ax. udźwig</w:t>
            </w:r>
          </w:p>
        </w:tc>
        <w:tc>
          <w:tcPr>
            <w:tcW w:w="3759" w:type="pct"/>
            <w:vAlign w:val="center"/>
          </w:tcPr>
          <w:p w:rsidR="00F82ED3" w:rsidRDefault="00F82ED3" w:rsidP="00965DF3">
            <w:r>
              <w:t>36kg</w:t>
            </w:r>
          </w:p>
        </w:tc>
      </w:tr>
      <w:tr w:rsidR="00F82ED3" w:rsidTr="00965DF3">
        <w:tc>
          <w:tcPr>
            <w:tcW w:w="279" w:type="pct"/>
            <w:vAlign w:val="center"/>
          </w:tcPr>
          <w:p w:rsidR="00F82ED3" w:rsidRDefault="00F82ED3" w:rsidP="00965DF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62" w:type="pct"/>
            <w:vAlign w:val="center"/>
          </w:tcPr>
          <w:p w:rsidR="00F82ED3" w:rsidRDefault="00F82ED3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>
              <w:t>możliwość regulacji kąta nachylenia</w:t>
            </w:r>
          </w:p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 w:rsidRPr="00F82ED3">
              <w:t>odległość od sufitu: 37</w:t>
            </w:r>
            <w:r>
              <w:t xml:space="preserve"> –</w:t>
            </w:r>
            <w:r w:rsidRPr="00F82ED3">
              <w:t xml:space="preserve"> 58 mm</w:t>
            </w:r>
          </w:p>
          <w:p w:rsidR="00F82ED3" w:rsidRDefault="00F82ED3" w:rsidP="00F82ED3">
            <w:pPr>
              <w:pStyle w:val="Akapitzlist"/>
              <w:numPr>
                <w:ilvl w:val="0"/>
                <w:numId w:val="12"/>
              </w:numPr>
            </w:pPr>
            <w:r>
              <w:t>w pełni kompatybilny z projektorem multimedialnym – pozycja 3</w:t>
            </w:r>
          </w:p>
          <w:p w:rsidR="00880035" w:rsidRPr="00F82ED3" w:rsidRDefault="00880035" w:rsidP="00AA4DDA">
            <w:pPr>
              <w:pStyle w:val="Akapitzlist"/>
              <w:numPr>
                <w:ilvl w:val="0"/>
                <w:numId w:val="12"/>
              </w:numPr>
            </w:pPr>
            <w:r>
              <w:t xml:space="preserve">montaż uchwytu </w:t>
            </w:r>
            <w:r w:rsidR="00AA4DDA">
              <w:t>we wskazanym miejscu</w:t>
            </w:r>
          </w:p>
        </w:tc>
      </w:tr>
      <w:tr w:rsidR="00E4430F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Default="00E4430F" w:rsidP="00E4430F">
            <w:pPr>
              <w:pStyle w:val="Akapitzlist"/>
              <w:ind w:left="360"/>
            </w:pPr>
          </w:p>
        </w:tc>
      </w:tr>
    </w:tbl>
    <w:p w:rsidR="00D51112" w:rsidRDefault="00D51112" w:rsidP="00D51112">
      <w:pPr>
        <w:rPr>
          <w:b/>
        </w:rPr>
      </w:pPr>
    </w:p>
    <w:p w:rsidR="00CB1716" w:rsidRPr="00D51112" w:rsidRDefault="00CB1716" w:rsidP="00D51112">
      <w:pPr>
        <w:rPr>
          <w:b/>
        </w:rPr>
      </w:pPr>
    </w:p>
    <w:p w:rsidR="00D51112" w:rsidRDefault="00CB1716" w:rsidP="009D17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Okablowanie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CB1716" w:rsidRPr="00036DF5" w:rsidTr="00965DF3">
        <w:tc>
          <w:tcPr>
            <w:tcW w:w="279" w:type="pct"/>
            <w:vAlign w:val="center"/>
          </w:tcPr>
          <w:p w:rsidR="00CB1716" w:rsidRPr="00FB6C7B" w:rsidRDefault="00CB1716" w:rsidP="00965DF3">
            <w:pPr>
              <w:jc w:val="center"/>
              <w:rPr>
                <w:b/>
                <w:i/>
              </w:rPr>
            </w:pPr>
            <w:r w:rsidRPr="00FB6C7B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CB1716" w:rsidRPr="00036DF5" w:rsidRDefault="00CB1716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CB1716" w:rsidRPr="00036DF5" w:rsidRDefault="00CB1716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Pr="00FB6C7B" w:rsidRDefault="00CB1716" w:rsidP="00965DF3">
            <w:pPr>
              <w:jc w:val="center"/>
              <w:rPr>
                <w:b/>
              </w:rPr>
            </w:pPr>
            <w:r w:rsidRPr="00FB6C7B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CB1716" w:rsidRDefault="00CB1716" w:rsidP="00965DF3">
            <w:r>
              <w:t>okablowanie do projektora multimedialnego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 xml:space="preserve">Kabel </w:t>
            </w:r>
            <w:proofErr w:type="spellStart"/>
            <w:r>
              <w:t>Hdmi</w:t>
            </w:r>
            <w:proofErr w:type="spellEnd"/>
          </w:p>
        </w:tc>
        <w:tc>
          <w:tcPr>
            <w:tcW w:w="3759" w:type="pct"/>
            <w:vAlign w:val="center"/>
          </w:tcPr>
          <w:p w:rsidR="00CB1716" w:rsidRPr="00CB1716" w:rsidRDefault="00CB1716" w:rsidP="00CB1716">
            <w:r>
              <w:t>długość 10m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Kabel zasilający projektor  230V</w:t>
            </w:r>
          </w:p>
        </w:tc>
        <w:tc>
          <w:tcPr>
            <w:tcW w:w="3759" w:type="pct"/>
            <w:vAlign w:val="center"/>
          </w:tcPr>
          <w:p w:rsidR="00CB1716" w:rsidRDefault="00CB1716" w:rsidP="00CB1716">
            <w:r>
              <w:t>długość 10m</w:t>
            </w:r>
          </w:p>
        </w:tc>
      </w:tr>
      <w:tr w:rsidR="00CB1716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CB1716" w:rsidRDefault="00CB1716" w:rsidP="00CB1716">
            <w:proofErr w:type="spellStart"/>
            <w:r>
              <w:t>Listawa</w:t>
            </w:r>
            <w:proofErr w:type="spellEnd"/>
            <w:r>
              <w:t xml:space="preserve"> zasilająca </w:t>
            </w:r>
          </w:p>
        </w:tc>
        <w:tc>
          <w:tcPr>
            <w:tcW w:w="3759" w:type="pct"/>
            <w:vAlign w:val="center"/>
          </w:tcPr>
          <w:p w:rsidR="00CB1716" w:rsidRDefault="00CB1716" w:rsidP="00CB1716">
            <w:pPr>
              <w:pStyle w:val="Akapitzlist"/>
              <w:numPr>
                <w:ilvl w:val="0"/>
                <w:numId w:val="13"/>
              </w:numPr>
            </w:pPr>
            <w:r>
              <w:t>5 gniazd</w:t>
            </w:r>
          </w:p>
          <w:p w:rsidR="00CB1716" w:rsidRPr="00CB1716" w:rsidRDefault="00CB1716" w:rsidP="00CB1716">
            <w:pPr>
              <w:pStyle w:val="Akapitzlist"/>
              <w:numPr>
                <w:ilvl w:val="0"/>
                <w:numId w:val="13"/>
              </w:numPr>
            </w:pPr>
            <w:r>
              <w:t>długość przewodu 3m</w:t>
            </w:r>
          </w:p>
        </w:tc>
      </w:tr>
      <w:tr w:rsidR="00CB1716" w:rsidRPr="00F82ED3" w:rsidTr="00965DF3">
        <w:tc>
          <w:tcPr>
            <w:tcW w:w="279" w:type="pct"/>
            <w:vAlign w:val="center"/>
          </w:tcPr>
          <w:p w:rsidR="00CB1716" w:rsidRDefault="00CB1716" w:rsidP="00965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CB1716" w:rsidRDefault="00CB1716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CB1716" w:rsidRPr="00CB1716" w:rsidRDefault="00CB1716" w:rsidP="00CB1716">
            <w:r w:rsidRPr="00CB1716">
              <w:t>w pełni kompatybiln</w:t>
            </w:r>
            <w:r>
              <w:t>e</w:t>
            </w:r>
            <w:r w:rsidRPr="00CB1716">
              <w:t xml:space="preserve"> z projektorem multimedialnym – pozycja 3</w:t>
            </w:r>
          </w:p>
        </w:tc>
      </w:tr>
      <w:tr w:rsidR="00E4430F" w:rsidRPr="00F82ED3" w:rsidTr="00965DF3">
        <w:tc>
          <w:tcPr>
            <w:tcW w:w="279" w:type="pct"/>
            <w:vAlign w:val="center"/>
          </w:tcPr>
          <w:p w:rsidR="00E4430F" w:rsidRDefault="00E4430F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E4430F" w:rsidRDefault="00E4430F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E4430F" w:rsidRPr="00CB1716" w:rsidRDefault="00E4430F" w:rsidP="00CB1716"/>
        </w:tc>
      </w:tr>
    </w:tbl>
    <w:p w:rsidR="00CB1716" w:rsidRDefault="00CB1716" w:rsidP="00923470">
      <w:pPr>
        <w:rPr>
          <w:b/>
        </w:rPr>
      </w:pPr>
    </w:p>
    <w:p w:rsidR="00E4430F" w:rsidRPr="00923470" w:rsidRDefault="00E4430F" w:rsidP="00923470">
      <w:pPr>
        <w:rPr>
          <w:b/>
        </w:rPr>
      </w:pPr>
      <w:r>
        <w:rPr>
          <w:b/>
        </w:rPr>
        <w:t>Razem cena brutto(1+2+3+4+5)=</w:t>
      </w:r>
    </w:p>
    <w:sectPr w:rsidR="00E4430F" w:rsidRPr="00923470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2D" w:rsidRDefault="00303E2D" w:rsidP="00303E2D">
      <w:pPr>
        <w:spacing w:after="0" w:line="240" w:lineRule="auto"/>
      </w:pPr>
      <w:r>
        <w:separator/>
      </w:r>
    </w:p>
  </w:endnote>
  <w:endnote w:type="continuationSeparator" w:id="0">
    <w:p w:rsidR="00303E2D" w:rsidRDefault="00303E2D" w:rsidP="0030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E2D" w:rsidRDefault="00303E2D">
    <w:pPr>
      <w:pStyle w:val="Stopka"/>
    </w:pPr>
    <w:r w:rsidRPr="00303E2D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2D" w:rsidRDefault="00303E2D" w:rsidP="00303E2D">
      <w:pPr>
        <w:spacing w:after="0" w:line="240" w:lineRule="auto"/>
      </w:pPr>
      <w:r>
        <w:separator/>
      </w:r>
    </w:p>
  </w:footnote>
  <w:footnote w:type="continuationSeparator" w:id="0">
    <w:p w:rsidR="00303E2D" w:rsidRDefault="00303E2D" w:rsidP="00303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E2D" w:rsidRDefault="00303E2D">
    <w:pPr>
      <w:pStyle w:val="Nagwek"/>
    </w:pPr>
    <w:r w:rsidRPr="00303E2D"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5CB"/>
    <w:multiLevelType w:val="hybridMultilevel"/>
    <w:tmpl w:val="6172C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C04C3"/>
    <w:multiLevelType w:val="hybridMultilevel"/>
    <w:tmpl w:val="E2A6BB9C"/>
    <w:lvl w:ilvl="0" w:tplc="DAAA5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007A1E"/>
    <w:multiLevelType w:val="hybridMultilevel"/>
    <w:tmpl w:val="5BF89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F602B"/>
    <w:multiLevelType w:val="hybridMultilevel"/>
    <w:tmpl w:val="1678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D57099"/>
    <w:multiLevelType w:val="hybridMultilevel"/>
    <w:tmpl w:val="C140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1778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76A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3E2D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57B59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3F7EBF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09FB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305D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035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055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9F8"/>
    <w:rsid w:val="00921A8C"/>
    <w:rsid w:val="009230E7"/>
    <w:rsid w:val="00923470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2C7A"/>
    <w:rsid w:val="009639A1"/>
    <w:rsid w:val="009651C1"/>
    <w:rsid w:val="00965920"/>
    <w:rsid w:val="00967CFB"/>
    <w:rsid w:val="00970C9E"/>
    <w:rsid w:val="0097130C"/>
    <w:rsid w:val="00971736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5F38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778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4DDA"/>
    <w:rsid w:val="00AA6254"/>
    <w:rsid w:val="00AA62DD"/>
    <w:rsid w:val="00AA7A1E"/>
    <w:rsid w:val="00AA7AF9"/>
    <w:rsid w:val="00AB2057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252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2E61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716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112"/>
    <w:rsid w:val="00D51C65"/>
    <w:rsid w:val="00D51F88"/>
    <w:rsid w:val="00D558B1"/>
    <w:rsid w:val="00D5627D"/>
    <w:rsid w:val="00D643BB"/>
    <w:rsid w:val="00D6704F"/>
    <w:rsid w:val="00D674CB"/>
    <w:rsid w:val="00D74DC5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430F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2ED3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77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9D1778"/>
    <w:pPr>
      <w:ind w:left="720"/>
      <w:contextualSpacing/>
    </w:pPr>
  </w:style>
  <w:style w:type="table" w:styleId="Tabela-Siatka">
    <w:name w:val="Table Grid"/>
    <w:basedOn w:val="Standardowy"/>
    <w:uiPriority w:val="59"/>
    <w:rsid w:val="009D1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D177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7AF9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3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3E2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3E2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16</cp:revision>
  <dcterms:created xsi:type="dcterms:W3CDTF">2013-12-10T07:56:00Z</dcterms:created>
  <dcterms:modified xsi:type="dcterms:W3CDTF">2013-12-20T11:25:00Z</dcterms:modified>
</cp:coreProperties>
</file>